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091A" w14:textId="77777777" w:rsidR="00A75F06" w:rsidRDefault="004F23C6">
      <w:pPr>
        <w:rPr>
          <w:rFonts w:ascii="Verdana" w:eastAsia="Verdana" w:hAnsi="Verdana" w:cs="Verdana"/>
          <w:b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Supreme Court Case Madness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C906F5" wp14:editId="291CB122">
            <wp:simplePos x="0" y="0"/>
            <wp:positionH relativeFrom="column">
              <wp:posOffset>-394335</wp:posOffset>
            </wp:positionH>
            <wp:positionV relativeFrom="paragraph">
              <wp:posOffset>281</wp:posOffset>
            </wp:positionV>
            <wp:extent cx="2516899" cy="1597263"/>
            <wp:effectExtent l="0" t="0" r="0" b="0"/>
            <wp:wrapSquare wrapText="bothSides" distT="0" distB="0" distL="114300" distR="11430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899" cy="159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47E411" w14:textId="77777777" w:rsidR="00A75F06" w:rsidRDefault="00A75F06">
      <w:pPr>
        <w:rPr>
          <w:rFonts w:ascii="Verdana" w:eastAsia="Verdana" w:hAnsi="Verdana" w:cs="Verdana"/>
          <w:sz w:val="32"/>
          <w:szCs w:val="32"/>
        </w:rPr>
      </w:pPr>
    </w:p>
    <w:p w14:paraId="070544CF" w14:textId="01218D96" w:rsidR="00A75F06" w:rsidRDefault="004F23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 one person or two-person assignment. If you work with a partner, you will both receive the same grade. This assignment is due at the beginning of the period on </w:t>
      </w:r>
      <w:r w:rsidR="00CB01C2">
        <w:rPr>
          <w:rFonts w:ascii="Calibri" w:eastAsia="Calibri" w:hAnsi="Calibri" w:cs="Calibri"/>
          <w:b/>
        </w:rPr>
        <w:t>Wed. 4/10.</w:t>
      </w:r>
    </w:p>
    <w:p w14:paraId="702D6A80" w14:textId="77777777" w:rsidR="00A75F06" w:rsidRDefault="00A75F06">
      <w:pPr>
        <w:rPr>
          <w:rFonts w:ascii="Calibri" w:eastAsia="Calibri" w:hAnsi="Calibri" w:cs="Calibri"/>
        </w:rPr>
      </w:pPr>
    </w:p>
    <w:p w14:paraId="195B9E46" w14:textId="77777777" w:rsidR="00A75F06" w:rsidRDefault="00A75F06">
      <w:pPr>
        <w:rPr>
          <w:rFonts w:ascii="Calibri" w:eastAsia="Calibri" w:hAnsi="Calibri" w:cs="Calibri"/>
        </w:rPr>
      </w:pPr>
    </w:p>
    <w:p w14:paraId="6AD39AF3" w14:textId="77777777" w:rsidR="00A75F06" w:rsidRDefault="00A75F06">
      <w:pPr>
        <w:rPr>
          <w:rFonts w:ascii="Calibri" w:eastAsia="Calibri" w:hAnsi="Calibri" w:cs="Calibri"/>
        </w:rPr>
      </w:pPr>
    </w:p>
    <w:p w14:paraId="52EC4CF8" w14:textId="77777777" w:rsidR="00A75F06" w:rsidRDefault="00A75F06">
      <w:pPr>
        <w:rPr>
          <w:rFonts w:ascii="Calibri" w:eastAsia="Calibri" w:hAnsi="Calibri" w:cs="Calibri"/>
        </w:rPr>
      </w:pPr>
    </w:p>
    <w:p w14:paraId="4E51A720" w14:textId="77777777" w:rsidR="00A75F06" w:rsidRDefault="00A75F06">
      <w:pPr>
        <w:rPr>
          <w:rFonts w:ascii="Calibri" w:eastAsia="Calibri" w:hAnsi="Calibri" w:cs="Calibri"/>
        </w:rPr>
      </w:pPr>
    </w:p>
    <w:p w14:paraId="2D855915" w14:textId="77777777" w:rsidR="00A75F06" w:rsidRDefault="004F23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Each person or pair needs to do the following:</w:t>
      </w:r>
    </w:p>
    <w:p w14:paraId="6FB74807" w14:textId="686E5CBA" w:rsidR="00A75F06" w:rsidRDefault="004F23C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Learn your cases by using the provided </w:t>
      </w:r>
      <w:r w:rsidR="00CB01C2">
        <w:rPr>
          <w:rFonts w:ascii="Calibri" w:eastAsia="Calibri" w:hAnsi="Calibri" w:cs="Calibri"/>
        </w:rPr>
        <w:t>PowerPoint</w:t>
      </w:r>
      <w:r>
        <w:rPr>
          <w:rFonts w:ascii="Calibri" w:eastAsia="Calibri" w:hAnsi="Calibri" w:cs="Calibri"/>
        </w:rPr>
        <w:t xml:space="preserve">, handout or your own research. </w:t>
      </w:r>
    </w:p>
    <w:p w14:paraId="655326BB" w14:textId="77777777" w:rsidR="00A75F06" w:rsidRDefault="004F23C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each Round and “Match-Up,” explain the significance of each case and why one case beat the other. Do this on a separate sheet </w:t>
      </w:r>
      <w:r>
        <w:rPr>
          <w:rFonts w:ascii="Calibri" w:eastAsia="Calibri" w:hAnsi="Calibri" w:cs="Calibri"/>
        </w:rPr>
        <w:t xml:space="preserve">of paper, or using Google Docs, not the bracket page. You must fill out your bracket and turn it in with your explanations. </w:t>
      </w:r>
    </w:p>
    <w:p w14:paraId="4201CD3E" w14:textId="77777777" w:rsidR="00A75F06" w:rsidRDefault="004F23C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matchup should briefly explain the significance of each case, and an explanation as to why one case beat the other. For exampl</w:t>
      </w:r>
      <w:r>
        <w:rPr>
          <w:rFonts w:ascii="Calibri" w:eastAsia="Calibri" w:hAnsi="Calibri" w:cs="Calibri"/>
        </w:rPr>
        <w:t xml:space="preserve">e, Marbury v Madison would be “gave the SC the power of judicial review.” For Brown v Board of </w:t>
      </w:r>
      <w:proofErr w:type="gramStart"/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</w:rPr>
        <w:t xml:space="preserve"> it would be “ended segregation.” </w:t>
      </w:r>
    </w:p>
    <w:p w14:paraId="5A2BA049" w14:textId="77777777" w:rsidR="00A75F06" w:rsidRDefault="00A75F06">
      <w:pPr>
        <w:rPr>
          <w:rFonts w:ascii="Calibri" w:eastAsia="Calibri" w:hAnsi="Calibri" w:cs="Calibri"/>
        </w:rPr>
      </w:pPr>
    </w:p>
    <w:p w14:paraId="56B0E56A" w14:textId="77777777" w:rsidR="00A75F06" w:rsidRDefault="004F23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Example Template:</w:t>
      </w:r>
    </w:p>
    <w:p w14:paraId="5B5DE5A1" w14:textId="77777777" w:rsidR="00A75F06" w:rsidRDefault="004F23C6">
      <w:pPr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Round 1 Matchups</w:t>
      </w:r>
    </w:p>
    <w:p w14:paraId="3C3F2E53" w14:textId="77777777" w:rsidR="00A75F06" w:rsidRDefault="00A75F06">
      <w:pPr>
        <w:rPr>
          <w:rFonts w:ascii="Calibri" w:eastAsia="Calibri" w:hAnsi="Calibri" w:cs="Calibri"/>
        </w:rPr>
      </w:pPr>
    </w:p>
    <w:p w14:paraId="5EE10203" w14:textId="77777777" w:rsidR="00A75F06" w:rsidRDefault="004F23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Marbury v Madison VS. Dred Scott v Sanford</w:t>
      </w:r>
    </w:p>
    <w:p w14:paraId="79172173" w14:textId="77777777" w:rsidR="00A75F06" w:rsidRDefault="004F23C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>Significance of Marbury:</w:t>
      </w:r>
    </w:p>
    <w:p w14:paraId="076B3C5B" w14:textId="77777777" w:rsidR="00A75F06" w:rsidRDefault="004F23C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  <w:t>Significance of D</w:t>
      </w:r>
      <w:r>
        <w:rPr>
          <w:rFonts w:ascii="Calibri" w:eastAsia="Calibri" w:hAnsi="Calibri" w:cs="Calibri"/>
          <w:i/>
        </w:rPr>
        <w:t>red Scott:</w:t>
      </w:r>
    </w:p>
    <w:p w14:paraId="37F72109" w14:textId="77777777" w:rsidR="00A75F06" w:rsidRDefault="004F23C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  <w:t>Winner and Why:</w:t>
      </w:r>
    </w:p>
    <w:p w14:paraId="1EBB3608" w14:textId="77777777" w:rsidR="00A75F06" w:rsidRDefault="00A75F06">
      <w:pPr>
        <w:rPr>
          <w:rFonts w:ascii="Calibri" w:eastAsia="Calibri" w:hAnsi="Calibri" w:cs="Calibri"/>
        </w:rPr>
      </w:pPr>
    </w:p>
    <w:p w14:paraId="0F1489A1" w14:textId="77777777" w:rsidR="00A75F06" w:rsidRDefault="004F23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have already seeded the cases and put them in the bracket. You must decide the “winner” of </w:t>
      </w:r>
    </w:p>
    <w:p w14:paraId="21F0AC39" w14:textId="77777777" w:rsidR="00A75F06" w:rsidRDefault="004F23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match between the cases. The winner is the case that is more important / significant. Think about how you will measure significance. We will have a discussion on measuring significance so everyone will be on the same page. </w:t>
      </w:r>
      <w:r>
        <w:rPr>
          <w:rFonts w:ascii="Calibri" w:eastAsia="Calibri" w:hAnsi="Calibri" w:cs="Calibri"/>
          <w:b/>
        </w:rPr>
        <w:t>Remember the significance of</w:t>
      </w:r>
      <w:r>
        <w:rPr>
          <w:rFonts w:ascii="Calibri" w:eastAsia="Calibri" w:hAnsi="Calibri" w:cs="Calibri"/>
          <w:b/>
        </w:rPr>
        <w:t xml:space="preserve"> a case would be measured by how many people were affected and to what degree they were affected. Also, was it a long term affect or short term?</w:t>
      </w:r>
    </w:p>
    <w:p w14:paraId="290BCC2B" w14:textId="77777777" w:rsidR="00A75F06" w:rsidRDefault="00A75F06">
      <w:pPr>
        <w:rPr>
          <w:rFonts w:ascii="Calibri" w:eastAsia="Calibri" w:hAnsi="Calibri" w:cs="Calibri"/>
        </w:rPr>
      </w:pPr>
    </w:p>
    <w:p w14:paraId="44A44FB5" w14:textId="77777777" w:rsidR="00A75F06" w:rsidRDefault="00A75F06">
      <w:pPr>
        <w:rPr>
          <w:rFonts w:ascii="Calibri" w:eastAsia="Calibri" w:hAnsi="Calibri" w:cs="Calibri"/>
        </w:rPr>
      </w:pPr>
    </w:p>
    <w:p w14:paraId="6E92B488" w14:textId="6E5A4570" w:rsidR="00A75F06" w:rsidRDefault="004F23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This is a </w:t>
      </w:r>
      <w:r w:rsidR="00CB01C2">
        <w:rPr>
          <w:rFonts w:ascii="Calibri" w:eastAsia="Calibri" w:hAnsi="Calibri" w:cs="Calibri"/>
          <w:b/>
          <w:u w:val="single"/>
        </w:rPr>
        <w:t>75-</w:t>
      </w:r>
      <w:r>
        <w:rPr>
          <w:rFonts w:ascii="Calibri" w:eastAsia="Calibri" w:hAnsi="Calibri" w:cs="Calibri"/>
          <w:b/>
          <w:u w:val="single"/>
        </w:rPr>
        <w:t>point assignment</w:t>
      </w:r>
      <w:r>
        <w:rPr>
          <w:rFonts w:ascii="Calibri" w:eastAsia="Calibri" w:hAnsi="Calibri" w:cs="Calibri"/>
          <w:b/>
        </w:rPr>
        <w:t xml:space="preserve"> that will be graded on completing the assignment, correct information, and brac</w:t>
      </w:r>
      <w:r>
        <w:rPr>
          <w:rFonts w:ascii="Calibri" w:eastAsia="Calibri" w:hAnsi="Calibri" w:cs="Calibri"/>
          <w:b/>
        </w:rPr>
        <w:t xml:space="preserve">kets that make sense/are defendable. </w:t>
      </w:r>
    </w:p>
    <w:p w14:paraId="0D24C72F" w14:textId="77777777" w:rsidR="00A75F06" w:rsidRDefault="00A75F06">
      <w:pPr>
        <w:rPr>
          <w:rFonts w:ascii="Calibri" w:eastAsia="Calibri" w:hAnsi="Calibri" w:cs="Calibri"/>
          <w:b/>
        </w:rPr>
      </w:pPr>
    </w:p>
    <w:p w14:paraId="56FA20A0" w14:textId="77777777" w:rsidR="00A75F06" w:rsidRDefault="004F23C6">
      <w:pPr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***You will turn in your completed bracket and your explanation </w:t>
      </w:r>
      <w:proofErr w:type="gramStart"/>
      <w:r>
        <w:rPr>
          <w:rFonts w:ascii="Calibri" w:eastAsia="Calibri" w:hAnsi="Calibri" w:cs="Calibri"/>
          <w:b/>
          <w:sz w:val="36"/>
          <w:szCs w:val="36"/>
          <w:u w:val="single"/>
        </w:rPr>
        <w:t>sheet.*</w:t>
      </w:r>
      <w:proofErr w:type="gramEnd"/>
      <w:r>
        <w:rPr>
          <w:rFonts w:ascii="Calibri" w:eastAsia="Calibri" w:hAnsi="Calibri" w:cs="Calibri"/>
          <w:b/>
          <w:sz w:val="36"/>
          <w:szCs w:val="36"/>
          <w:u w:val="single"/>
        </w:rPr>
        <w:t>*</w:t>
      </w:r>
    </w:p>
    <w:p w14:paraId="54C29010" w14:textId="77777777" w:rsidR="00A75F06" w:rsidRDefault="00A75F06">
      <w:pPr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471D8BE8" w14:textId="77777777" w:rsidR="00A75F06" w:rsidRDefault="00A75F06">
      <w:pPr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538D11CE" w14:textId="258DE8E2" w:rsidR="00A75F06" w:rsidRDefault="00CB01C2">
      <w:pPr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color w:val="000000"/>
          <w:sz w:val="32"/>
          <w:szCs w:val="32"/>
        </w:rPr>
        <w:t>SC Case Seed List</w:t>
      </w:r>
      <w:bookmarkStart w:id="0" w:name="_GoBack"/>
      <w:bookmarkEnd w:id="0"/>
    </w:p>
    <w:p w14:paraId="15E009ED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Marbury v Madison </w:t>
      </w:r>
    </w:p>
    <w:p w14:paraId="4EE98EB5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Brown v. Board of Education</w:t>
      </w:r>
      <w:r w:rsidRPr="00CB01C2">
        <w:rPr>
          <w:rFonts w:ascii="Calibri" w:eastAsia="Calibri" w:hAnsi="Calibri" w:cs="Calibri"/>
          <w:color w:val="262626"/>
        </w:rPr>
        <w:tab/>
      </w:r>
    </w:p>
    <w:p w14:paraId="711485C6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Obergefell v Hodges</w:t>
      </w:r>
    </w:p>
    <w:p w14:paraId="3B5CFCD5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Miranda v. Arizona </w:t>
      </w:r>
    </w:p>
    <w:p w14:paraId="795C539D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Gideon v. Wainwright </w:t>
      </w:r>
    </w:p>
    <w:p w14:paraId="66009EE0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Roe v. Wade </w:t>
      </w:r>
    </w:p>
    <w:p w14:paraId="40DBE67E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Mapp v. Ohio </w:t>
      </w:r>
    </w:p>
    <w:p w14:paraId="4F2657E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New Jersey v. TLO </w:t>
      </w:r>
      <w:r w:rsidRPr="00CB01C2">
        <w:rPr>
          <w:rFonts w:ascii="Calibri" w:eastAsia="Calibri" w:hAnsi="Calibri" w:cs="Calibri"/>
          <w:color w:val="262626"/>
        </w:rPr>
        <w:tab/>
      </w:r>
    </w:p>
    <w:p w14:paraId="0D07E502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Furman v. Georgia </w:t>
      </w:r>
      <w:r w:rsidRPr="00CB01C2">
        <w:rPr>
          <w:rFonts w:ascii="Calibri" w:eastAsia="Calibri" w:hAnsi="Calibri" w:cs="Calibri"/>
          <w:color w:val="262626"/>
        </w:rPr>
        <w:tab/>
      </w:r>
    </w:p>
    <w:p w14:paraId="02E94344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Gregg v. Georgia </w:t>
      </w:r>
      <w:r w:rsidRPr="00CB01C2">
        <w:rPr>
          <w:rFonts w:ascii="Calibri" w:eastAsia="Calibri" w:hAnsi="Calibri" w:cs="Calibri"/>
          <w:color w:val="262626"/>
        </w:rPr>
        <w:tab/>
      </w:r>
    </w:p>
    <w:p w14:paraId="49C62A65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Engel v. Vitale </w:t>
      </w:r>
      <w:r w:rsidRPr="00CB01C2">
        <w:rPr>
          <w:rFonts w:ascii="Calibri" w:eastAsia="Calibri" w:hAnsi="Calibri" w:cs="Calibri"/>
          <w:color w:val="262626"/>
        </w:rPr>
        <w:tab/>
      </w:r>
    </w:p>
    <w:p w14:paraId="5255425A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Texas v. Johnson</w:t>
      </w:r>
    </w:p>
    <w:p w14:paraId="2BDF697D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Swann v. Charlotte-Mecklenburg Schools </w:t>
      </w:r>
    </w:p>
    <w:p w14:paraId="34DE9E60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In Re Gault </w:t>
      </w:r>
    </w:p>
    <w:p w14:paraId="5B6EAB08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Reynolds v. Sims </w:t>
      </w:r>
    </w:p>
    <w:p w14:paraId="3FA429C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Bethel v. Fraser </w:t>
      </w:r>
    </w:p>
    <w:p w14:paraId="17E4536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Tinker v. Des Moines </w:t>
      </w:r>
    </w:p>
    <w:p w14:paraId="2D6127AF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Regents of California v Bakke</w:t>
      </w:r>
    </w:p>
    <w:p w14:paraId="033C2910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Hazelwood v. Kuhlmeier</w:t>
      </w:r>
    </w:p>
    <w:p w14:paraId="35FFFF0A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Heart of Atlanta Hotel v US </w:t>
      </w:r>
    </w:p>
    <w:p w14:paraId="38E7ED44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Vernonia Schools v Acton</w:t>
      </w:r>
    </w:p>
    <w:p w14:paraId="348610E3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WV v Barnette </w:t>
      </w:r>
    </w:p>
    <w:p w14:paraId="16429D5F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US v. Nixon</w:t>
      </w:r>
    </w:p>
    <w:p w14:paraId="149C153D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Cruzan v. Missouri Department of Health</w:t>
      </w:r>
    </w:p>
    <w:p w14:paraId="42E782D4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Leandro v NC</w:t>
      </w:r>
    </w:p>
    <w:p w14:paraId="4692C54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Gibbons v Ogden</w:t>
      </w:r>
    </w:p>
    <w:p w14:paraId="07A7DCFD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McCulloch v Maryland</w:t>
      </w:r>
    </w:p>
    <w:p w14:paraId="4DD58A5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Plessy v Ferguson</w:t>
      </w:r>
    </w:p>
    <w:p w14:paraId="1429CAF5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Korematsu v US</w:t>
      </w:r>
    </w:p>
    <w:p w14:paraId="225BE32F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proofErr w:type="spellStart"/>
      <w:r w:rsidRPr="00CB01C2">
        <w:rPr>
          <w:rFonts w:ascii="Calibri" w:eastAsia="Calibri" w:hAnsi="Calibri" w:cs="Calibri"/>
          <w:color w:val="262626"/>
        </w:rPr>
        <w:t>Schenck</w:t>
      </w:r>
      <w:proofErr w:type="spellEnd"/>
      <w:r w:rsidRPr="00CB01C2">
        <w:rPr>
          <w:rFonts w:ascii="Calibri" w:eastAsia="Calibri" w:hAnsi="Calibri" w:cs="Calibri"/>
          <w:color w:val="262626"/>
        </w:rPr>
        <w:t xml:space="preserve"> v US</w:t>
      </w:r>
    </w:p>
    <w:p w14:paraId="3A27552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NY Times v US</w:t>
      </w:r>
    </w:p>
    <w:p w14:paraId="05486EA3" w14:textId="11FB3D52" w:rsidR="00A75F06" w:rsidRDefault="00CB01C2" w:rsidP="00CB01C2">
      <w:pPr>
        <w:pStyle w:val="ListParagraph"/>
        <w:numPr>
          <w:ilvl w:val="0"/>
          <w:numId w:val="2"/>
        </w:numPr>
        <w:spacing w:before="280" w:after="280"/>
      </w:pPr>
      <w:r w:rsidRPr="00CB01C2">
        <w:rPr>
          <w:rFonts w:ascii="Calibri" w:eastAsia="Calibri" w:hAnsi="Calibri" w:cs="Calibri"/>
          <w:color w:val="262626"/>
        </w:rPr>
        <w:t>Dred Scott v US</w:t>
      </w:r>
    </w:p>
    <w:sectPr w:rsidR="00A75F06">
      <w:pgSz w:w="12240" w:h="15840"/>
      <w:pgMar w:top="1440" w:right="1152" w:bottom="144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59D8"/>
    <w:multiLevelType w:val="hybridMultilevel"/>
    <w:tmpl w:val="D52A4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66F43"/>
    <w:multiLevelType w:val="multilevel"/>
    <w:tmpl w:val="59F6A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F06"/>
    <w:rsid w:val="004F23C6"/>
    <w:rsid w:val="00A75F06"/>
    <w:rsid w:val="00C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2A7B"/>
  <w15:docId w15:val="{3275B333-0945-774D-B849-F12AD55F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2019-04-03T02:22:00Z</dcterms:created>
  <dcterms:modified xsi:type="dcterms:W3CDTF">2019-04-03T02:22:00Z</dcterms:modified>
</cp:coreProperties>
</file>